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93D6" w14:textId="77777777" w:rsidR="00033105" w:rsidRPr="00256DDF" w:rsidRDefault="00090A7B" w:rsidP="00090A7B">
      <w:pPr>
        <w:jc w:val="center"/>
        <w:rPr>
          <w:b/>
          <w:u w:val="single"/>
        </w:rPr>
      </w:pPr>
      <w:r w:rsidRPr="00256DDF">
        <w:rPr>
          <w:b/>
          <w:u w:val="single"/>
        </w:rPr>
        <w:t>REMPLACER UN AMORTISSEUR ARRIERE</w:t>
      </w:r>
    </w:p>
    <w:p w14:paraId="38EF634A" w14:textId="77777777" w:rsidR="00090A7B" w:rsidRDefault="00090A7B" w:rsidP="00090A7B">
      <w:pPr>
        <w:jc w:val="center"/>
      </w:pPr>
    </w:p>
    <w:p w14:paraId="52C0F2F6" w14:textId="77777777" w:rsidR="00090A7B" w:rsidRPr="00256DDF" w:rsidRDefault="00090A7B" w:rsidP="00090A7B">
      <w:pPr>
        <w:ind w:left="-1134"/>
        <w:rPr>
          <w:b/>
          <w:sz w:val="20"/>
          <w:szCs w:val="20"/>
        </w:rPr>
      </w:pPr>
      <w:r w:rsidRPr="00256DDF">
        <w:rPr>
          <w:b/>
          <w:sz w:val="20"/>
          <w:szCs w:val="20"/>
        </w:rPr>
        <w:t>OBJECTIF</w:t>
      </w:r>
    </w:p>
    <w:p w14:paraId="57A71DBA" w14:textId="0A96878F" w:rsidR="00090A7B" w:rsidRPr="006A00B1" w:rsidRDefault="00090A7B" w:rsidP="006A00B1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Remplacer les amortisseurs arrière </w:t>
      </w:r>
      <w:r w:rsidR="00D67199">
        <w:rPr>
          <w:sz w:val="20"/>
          <w:szCs w:val="20"/>
        </w:rPr>
        <w:t>sans retirer</w:t>
      </w:r>
      <w:r w:rsidRPr="006A00B1">
        <w:rPr>
          <w:sz w:val="20"/>
          <w:szCs w:val="20"/>
        </w:rPr>
        <w:t xml:space="preserve"> </w:t>
      </w:r>
      <w:r w:rsidR="00D67199">
        <w:rPr>
          <w:sz w:val="20"/>
          <w:szCs w:val="20"/>
        </w:rPr>
        <w:t>les</w:t>
      </w:r>
      <w:r w:rsidRPr="006A00B1">
        <w:rPr>
          <w:sz w:val="20"/>
          <w:szCs w:val="20"/>
        </w:rPr>
        <w:t xml:space="preserve"> ressorts.</w:t>
      </w:r>
    </w:p>
    <w:p w14:paraId="412C48A1" w14:textId="77777777" w:rsidR="00090A7B" w:rsidRDefault="00090A7B" w:rsidP="00090A7B">
      <w:pPr>
        <w:pStyle w:val="Paragraphedeliste"/>
        <w:ind w:left="-1134"/>
        <w:rPr>
          <w:sz w:val="20"/>
          <w:szCs w:val="20"/>
        </w:rPr>
      </w:pPr>
    </w:p>
    <w:p w14:paraId="5AEB1D15" w14:textId="4D3A7B2B" w:rsidR="00090A7B" w:rsidRDefault="00090A7B" w:rsidP="00090A7B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ORGABISER </w:t>
      </w:r>
      <w:r w:rsidR="00D67199">
        <w:rPr>
          <w:sz w:val="20"/>
          <w:szCs w:val="20"/>
        </w:rPr>
        <w:t>LE</w:t>
      </w:r>
      <w:r>
        <w:rPr>
          <w:sz w:val="20"/>
          <w:szCs w:val="20"/>
        </w:rPr>
        <w:t xml:space="preserve"> POSTE DE TRAVAIL </w:t>
      </w:r>
    </w:p>
    <w:p w14:paraId="08C78B3E" w14:textId="2BEC8F39" w:rsidR="00090A7B" w:rsidRDefault="00256DDF" w:rsidP="00090A7B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Noter</w:t>
      </w:r>
      <w:r w:rsidR="00090A7B" w:rsidRPr="00090A7B">
        <w:rPr>
          <w:b/>
          <w:sz w:val="20"/>
          <w:szCs w:val="20"/>
        </w:rPr>
        <w:t xml:space="preserve"> dans la revue technique du véhicule </w:t>
      </w:r>
    </w:p>
    <w:p w14:paraId="6A35907A" w14:textId="77777777" w:rsidR="00090A7B" w:rsidRDefault="00090A7B" w:rsidP="00090A7B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Que ce type d’amortisseur est bien extérieur au ressort.</w:t>
      </w:r>
    </w:p>
    <w:p w14:paraId="23F4990D" w14:textId="77777777" w:rsidR="00090A7B" w:rsidRDefault="00090A7B" w:rsidP="00090A7B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Les couples de serrage.</w:t>
      </w:r>
    </w:p>
    <w:p w14:paraId="13622153" w14:textId="1493DDBF" w:rsidR="00090A7B" w:rsidRPr="00D67199" w:rsidRDefault="00090A7B" w:rsidP="00D6719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Consulter la </w:t>
      </w:r>
      <w:r w:rsidR="00D67199">
        <w:rPr>
          <w:sz w:val="20"/>
          <w:szCs w:val="20"/>
        </w:rPr>
        <w:t xml:space="preserve">technique recommandée </w:t>
      </w:r>
      <w:r>
        <w:rPr>
          <w:sz w:val="20"/>
          <w:szCs w:val="20"/>
        </w:rPr>
        <w:t xml:space="preserve">par le constructeur, ainsi que </w:t>
      </w:r>
      <w:r w:rsidRPr="00D67199">
        <w:rPr>
          <w:sz w:val="20"/>
          <w:szCs w:val="20"/>
        </w:rPr>
        <w:t xml:space="preserve">celle fournie avec les amortisseurs de rechange. </w:t>
      </w:r>
    </w:p>
    <w:p w14:paraId="36A517A3" w14:textId="77777777" w:rsidR="00090A7B" w:rsidRDefault="00090A7B" w:rsidP="00090A7B">
      <w:pPr>
        <w:pStyle w:val="Paragraphedeliste"/>
        <w:ind w:left="-1134"/>
        <w:rPr>
          <w:b/>
          <w:sz w:val="20"/>
          <w:szCs w:val="20"/>
        </w:rPr>
      </w:pPr>
    </w:p>
    <w:p w14:paraId="7688A1AD" w14:textId="77777777" w:rsidR="00090A7B" w:rsidRDefault="00090A7B" w:rsidP="00090A7B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Préparer </w:t>
      </w:r>
    </w:p>
    <w:p w14:paraId="72AF6567" w14:textId="2B8623F6" w:rsidR="00090A7B" w:rsidRDefault="00090A7B" w:rsidP="00090A7B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Placer le train arrière sur </w:t>
      </w:r>
      <w:r w:rsidR="00D67199">
        <w:rPr>
          <w:sz w:val="20"/>
          <w:szCs w:val="20"/>
        </w:rPr>
        <w:t>un cric</w:t>
      </w:r>
      <w:r>
        <w:rPr>
          <w:sz w:val="20"/>
          <w:szCs w:val="20"/>
        </w:rPr>
        <w:t>.</w:t>
      </w:r>
    </w:p>
    <w:p w14:paraId="4DD20E7D" w14:textId="3491EA64" w:rsidR="00090A7B" w:rsidRDefault="00D67199" w:rsidP="00090A7B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Retirer </w:t>
      </w:r>
      <w:r w:rsidR="00090A7B">
        <w:rPr>
          <w:sz w:val="20"/>
          <w:szCs w:val="20"/>
        </w:rPr>
        <w:t>les roues.</w:t>
      </w:r>
    </w:p>
    <w:p w14:paraId="44F9530B" w14:textId="5575154D" w:rsidR="00090A7B" w:rsidRPr="00D67199" w:rsidRDefault="00090A7B" w:rsidP="00D67199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Placer le cric rouleur sous </w:t>
      </w:r>
      <w:r w:rsidR="00D67199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bras de suspension </w:t>
      </w:r>
      <w:r w:rsidR="00D67199">
        <w:rPr>
          <w:sz w:val="20"/>
          <w:szCs w:val="20"/>
        </w:rPr>
        <w:t xml:space="preserve">du </w:t>
      </w:r>
      <w:r>
        <w:rPr>
          <w:sz w:val="20"/>
          <w:szCs w:val="20"/>
        </w:rPr>
        <w:t xml:space="preserve">côté moyeu </w:t>
      </w:r>
      <w:r w:rsidR="00D67199">
        <w:rPr>
          <w:sz w:val="20"/>
          <w:szCs w:val="20"/>
        </w:rPr>
        <w:t>de façon</w:t>
      </w:r>
      <w:r>
        <w:rPr>
          <w:sz w:val="20"/>
          <w:szCs w:val="20"/>
        </w:rPr>
        <w:t xml:space="preserve"> </w:t>
      </w:r>
      <w:r w:rsidR="00D67199">
        <w:rPr>
          <w:sz w:val="20"/>
          <w:szCs w:val="20"/>
        </w:rPr>
        <w:t xml:space="preserve">à </w:t>
      </w:r>
      <w:r w:rsidRPr="00D67199">
        <w:rPr>
          <w:sz w:val="20"/>
          <w:szCs w:val="20"/>
        </w:rPr>
        <w:t>compr</w:t>
      </w:r>
      <w:r w:rsidR="00D67199">
        <w:rPr>
          <w:sz w:val="20"/>
          <w:szCs w:val="20"/>
        </w:rPr>
        <w:t xml:space="preserve">esser </w:t>
      </w:r>
      <w:r w:rsidRPr="00D67199">
        <w:rPr>
          <w:sz w:val="20"/>
          <w:szCs w:val="20"/>
        </w:rPr>
        <w:t xml:space="preserve">légèrement la suspension et débrider l’amortisseur. </w:t>
      </w:r>
    </w:p>
    <w:p w14:paraId="2BF3AF87" w14:textId="77777777" w:rsidR="00090A7B" w:rsidRDefault="00090A7B" w:rsidP="00090A7B">
      <w:pPr>
        <w:pStyle w:val="Paragraphedeliste"/>
        <w:ind w:left="-1134"/>
        <w:rPr>
          <w:sz w:val="20"/>
          <w:szCs w:val="20"/>
        </w:rPr>
      </w:pPr>
    </w:p>
    <w:p w14:paraId="3EA1A26A" w14:textId="77777777" w:rsidR="00090A7B" w:rsidRDefault="00090A7B" w:rsidP="00090A7B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REALISER L’INTERVENTION </w:t>
      </w:r>
    </w:p>
    <w:p w14:paraId="59E08437" w14:textId="19467813" w:rsidR="00090A7B" w:rsidRDefault="00256DDF" w:rsidP="00090A7B">
      <w:pPr>
        <w:pStyle w:val="Paragraphedeliste"/>
        <w:ind w:left="-1134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Demonter</w:t>
      </w:r>
      <w:proofErr w:type="spellEnd"/>
    </w:p>
    <w:p w14:paraId="153D054E" w14:textId="14DD267F" w:rsidR="00090A7B" w:rsidRPr="00090A7B" w:rsidRDefault="00D67199" w:rsidP="00090A7B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</w:t>
      </w:r>
      <w:r w:rsidR="00090A7B" w:rsidRPr="00090A7B">
        <w:rPr>
          <w:sz w:val="20"/>
          <w:szCs w:val="20"/>
        </w:rPr>
        <w:t xml:space="preserve">émonter un seul côté à la fois : </w:t>
      </w:r>
    </w:p>
    <w:p w14:paraId="61013436" w14:textId="1E814221" w:rsidR="00090A7B" w:rsidRDefault="00090A7B" w:rsidP="00090A7B">
      <w:pPr>
        <w:pStyle w:val="Paragraphedeliste"/>
        <w:numPr>
          <w:ilvl w:val="0"/>
          <w:numId w:val="5"/>
        </w:num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Pour conserver </w:t>
      </w:r>
      <w:r w:rsidR="00D7620B">
        <w:rPr>
          <w:sz w:val="20"/>
          <w:szCs w:val="20"/>
        </w:rPr>
        <w:t xml:space="preserve">le </w:t>
      </w:r>
      <w:r>
        <w:rPr>
          <w:sz w:val="20"/>
          <w:szCs w:val="20"/>
        </w:rPr>
        <w:t>montage de référence</w:t>
      </w:r>
      <w:r w:rsidR="00D7620B">
        <w:rPr>
          <w:sz w:val="20"/>
          <w:szCs w:val="20"/>
        </w:rPr>
        <w:t xml:space="preserve"> d’origine</w:t>
      </w:r>
      <w:r>
        <w:rPr>
          <w:sz w:val="20"/>
          <w:szCs w:val="20"/>
        </w:rPr>
        <w:t>.</w:t>
      </w:r>
    </w:p>
    <w:p w14:paraId="063CE246" w14:textId="0DA26DF4" w:rsidR="00090A7B" w:rsidRDefault="00D7620B" w:rsidP="00090A7B">
      <w:pPr>
        <w:pStyle w:val="Paragraphedeliste"/>
        <w:numPr>
          <w:ilvl w:val="0"/>
          <w:numId w:val="5"/>
        </w:numPr>
        <w:ind w:left="-709"/>
        <w:rPr>
          <w:sz w:val="20"/>
          <w:szCs w:val="20"/>
        </w:rPr>
      </w:pPr>
      <w:r>
        <w:rPr>
          <w:sz w:val="20"/>
          <w:szCs w:val="20"/>
        </w:rPr>
        <w:t>Da</w:t>
      </w:r>
      <w:r w:rsidR="00090A7B">
        <w:rPr>
          <w:sz w:val="20"/>
          <w:szCs w:val="20"/>
        </w:rPr>
        <w:t xml:space="preserve">ns certains cas, l’essieu arrière </w:t>
      </w:r>
      <w:r>
        <w:rPr>
          <w:sz w:val="20"/>
          <w:szCs w:val="20"/>
        </w:rPr>
        <w:t>n’est soutenu</w:t>
      </w:r>
      <w:r w:rsidR="00090A7B">
        <w:rPr>
          <w:sz w:val="20"/>
          <w:szCs w:val="20"/>
        </w:rPr>
        <w:t xml:space="preserve"> à la détente que par les amortisseurs. </w:t>
      </w:r>
    </w:p>
    <w:p w14:paraId="68C1450F" w14:textId="0AAD3D04" w:rsidR="00090A7B" w:rsidRDefault="00D7620B" w:rsidP="00090A7B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Desserrer</w:t>
      </w:r>
      <w:r w:rsidR="00090A7B">
        <w:rPr>
          <w:sz w:val="20"/>
          <w:szCs w:val="20"/>
        </w:rPr>
        <w:t xml:space="preserve"> l’écrou supérieur</w:t>
      </w:r>
      <w:r>
        <w:rPr>
          <w:sz w:val="20"/>
          <w:szCs w:val="20"/>
        </w:rPr>
        <w:t xml:space="preserve"> (écrou « </w:t>
      </w:r>
      <w:proofErr w:type="spellStart"/>
      <w:r>
        <w:rPr>
          <w:sz w:val="20"/>
          <w:szCs w:val="20"/>
        </w:rPr>
        <w:t>nylistop</w:t>
      </w:r>
      <w:proofErr w:type="spellEnd"/>
      <w:r>
        <w:rPr>
          <w:sz w:val="20"/>
          <w:szCs w:val="20"/>
        </w:rPr>
        <w:t> » ou contre écrou)</w:t>
      </w:r>
      <w:r w:rsidR="00090A7B">
        <w:rPr>
          <w:sz w:val="20"/>
          <w:szCs w:val="20"/>
        </w:rPr>
        <w:t xml:space="preserve"> après avoir observé le système de </w:t>
      </w:r>
      <w:r>
        <w:rPr>
          <w:sz w:val="20"/>
          <w:szCs w:val="20"/>
        </w:rPr>
        <w:t>protection.</w:t>
      </w:r>
      <w:r w:rsidR="00090A7B">
        <w:rPr>
          <w:sz w:val="20"/>
          <w:szCs w:val="20"/>
        </w:rPr>
        <w:t xml:space="preserve"> Placer </w:t>
      </w:r>
      <w:r>
        <w:rPr>
          <w:sz w:val="20"/>
          <w:szCs w:val="20"/>
        </w:rPr>
        <w:t xml:space="preserve">une </w:t>
      </w:r>
      <w:r w:rsidR="00090A7B">
        <w:rPr>
          <w:sz w:val="20"/>
          <w:szCs w:val="20"/>
        </w:rPr>
        <w:t xml:space="preserve">clé appropriée sur la tige pour l’empêcher de tourner sur elle-même. En cas de difficulté, </w:t>
      </w:r>
      <w:r>
        <w:rPr>
          <w:sz w:val="20"/>
          <w:szCs w:val="20"/>
        </w:rPr>
        <w:t xml:space="preserve">utilisé un </w:t>
      </w:r>
      <w:r w:rsidR="0017708E">
        <w:rPr>
          <w:sz w:val="20"/>
          <w:szCs w:val="20"/>
        </w:rPr>
        <w:t>étau pour maintenir la tige de poussée de l’amortisseur afin qu’elle se trouve sous le passage de roue.</w:t>
      </w:r>
      <w:r w:rsidR="00090A7B">
        <w:rPr>
          <w:sz w:val="20"/>
          <w:szCs w:val="20"/>
        </w:rPr>
        <w:t xml:space="preserve"> Ne jamais faire cela avec l’amortisseur neuf. </w:t>
      </w:r>
    </w:p>
    <w:p w14:paraId="5983420A" w14:textId="6418BFE1" w:rsidR="00090A7B" w:rsidRDefault="0017708E" w:rsidP="00090A7B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Desserrer</w:t>
      </w:r>
      <w:r w:rsidR="00090A7B">
        <w:rPr>
          <w:sz w:val="20"/>
          <w:szCs w:val="20"/>
        </w:rPr>
        <w:t xml:space="preserve"> l’axe inférieur. </w:t>
      </w:r>
      <w:r>
        <w:rPr>
          <w:sz w:val="20"/>
          <w:szCs w:val="20"/>
        </w:rPr>
        <w:t>Démonter l’amortisseur.</w:t>
      </w:r>
    </w:p>
    <w:p w14:paraId="1B896190" w14:textId="4F9B11CB" w:rsidR="00090A7B" w:rsidRDefault="00256DDF" w:rsidP="00090A7B">
      <w:pPr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Remonter</w:t>
      </w:r>
      <w:bookmarkStart w:id="0" w:name="_GoBack"/>
      <w:bookmarkEnd w:id="0"/>
    </w:p>
    <w:p w14:paraId="00708252" w14:textId="3EF8B4C1" w:rsidR="00090A7B" w:rsidRDefault="0017708E" w:rsidP="00090A7B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</w:t>
      </w:r>
      <w:r w:rsidR="00090A7B" w:rsidRPr="00090A7B">
        <w:rPr>
          <w:sz w:val="20"/>
          <w:szCs w:val="20"/>
        </w:rPr>
        <w:t xml:space="preserve"> (avant la repose) toute</w:t>
      </w:r>
      <w:r>
        <w:rPr>
          <w:sz w:val="20"/>
          <w:szCs w:val="20"/>
        </w:rPr>
        <w:t>s</w:t>
      </w:r>
      <w:r w:rsidR="00090A7B" w:rsidRPr="00090A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les </w:t>
      </w:r>
      <w:r w:rsidR="00090A7B" w:rsidRPr="00090A7B">
        <w:rPr>
          <w:sz w:val="20"/>
          <w:szCs w:val="20"/>
        </w:rPr>
        <w:t>rondelle</w:t>
      </w:r>
      <w:r>
        <w:rPr>
          <w:sz w:val="20"/>
          <w:szCs w:val="20"/>
        </w:rPr>
        <w:t>s</w:t>
      </w:r>
      <w:r w:rsidR="00090A7B" w:rsidRPr="00090A7B">
        <w:rPr>
          <w:sz w:val="20"/>
          <w:szCs w:val="20"/>
        </w:rPr>
        <w:t xml:space="preserve"> qui </w:t>
      </w:r>
      <w:r>
        <w:rPr>
          <w:sz w:val="20"/>
          <w:szCs w:val="20"/>
        </w:rPr>
        <w:t>peuvent encore être</w:t>
      </w:r>
      <w:r w:rsidR="00090A7B" w:rsidRPr="00090A7B">
        <w:rPr>
          <w:sz w:val="20"/>
          <w:szCs w:val="20"/>
        </w:rPr>
        <w:t xml:space="preserve"> collée</w:t>
      </w:r>
      <w:r>
        <w:rPr>
          <w:sz w:val="20"/>
          <w:szCs w:val="20"/>
        </w:rPr>
        <w:t>s</w:t>
      </w:r>
      <w:r w:rsidR="00090A7B" w:rsidRPr="00090A7B">
        <w:rPr>
          <w:sz w:val="20"/>
          <w:szCs w:val="20"/>
        </w:rPr>
        <w:t xml:space="preserve"> sur ou sous le passage de roue </w:t>
      </w:r>
      <w:r>
        <w:rPr>
          <w:sz w:val="20"/>
          <w:szCs w:val="20"/>
        </w:rPr>
        <w:t>utiliser le schéma fournis pour assembler chaque ébauche de rondelle</w:t>
      </w:r>
      <w:r w:rsidR="00090A7B" w:rsidRPr="00090A7B">
        <w:rPr>
          <w:sz w:val="20"/>
          <w:szCs w:val="20"/>
        </w:rPr>
        <w:t xml:space="preserve">. </w:t>
      </w:r>
      <w:r>
        <w:rPr>
          <w:sz w:val="20"/>
          <w:szCs w:val="20"/>
        </w:rPr>
        <w:t>R</w:t>
      </w:r>
      <w:r w:rsidR="00090A7B" w:rsidRPr="00090A7B">
        <w:rPr>
          <w:sz w:val="20"/>
          <w:szCs w:val="20"/>
        </w:rPr>
        <w:t xml:space="preserve">especter l’ordre et </w:t>
      </w:r>
      <w:r>
        <w:rPr>
          <w:sz w:val="20"/>
          <w:szCs w:val="20"/>
        </w:rPr>
        <w:t>la direction</w:t>
      </w:r>
      <w:r w:rsidR="00090A7B" w:rsidRPr="00090A7B">
        <w:rPr>
          <w:sz w:val="20"/>
          <w:szCs w:val="20"/>
        </w:rPr>
        <w:t xml:space="preserve"> des pièces. </w:t>
      </w:r>
    </w:p>
    <w:p w14:paraId="77442F52" w14:textId="4BD03FE0" w:rsidR="00090A7B" w:rsidRDefault="0017708E" w:rsidP="00090A7B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Serrer</w:t>
      </w:r>
      <w:r w:rsidR="00090A7B">
        <w:rPr>
          <w:sz w:val="20"/>
          <w:szCs w:val="20"/>
        </w:rPr>
        <w:t xml:space="preserve"> sans</w:t>
      </w:r>
      <w:r>
        <w:rPr>
          <w:sz w:val="20"/>
          <w:szCs w:val="20"/>
        </w:rPr>
        <w:t xml:space="preserve"> pour autant</w:t>
      </w:r>
      <w:r w:rsidR="00090A7B">
        <w:rPr>
          <w:sz w:val="20"/>
          <w:szCs w:val="20"/>
        </w:rPr>
        <w:t xml:space="preserve"> bloquer l’axe du pied d’amortisseur. </w:t>
      </w:r>
      <w:r>
        <w:rPr>
          <w:sz w:val="20"/>
          <w:szCs w:val="20"/>
        </w:rPr>
        <w:t>Mettre</w:t>
      </w:r>
      <w:r w:rsidR="00090A7B">
        <w:rPr>
          <w:sz w:val="20"/>
          <w:szCs w:val="20"/>
        </w:rPr>
        <w:t xml:space="preserve"> sur la tête : la rondelle </w:t>
      </w:r>
      <w:r>
        <w:rPr>
          <w:sz w:val="20"/>
          <w:szCs w:val="20"/>
        </w:rPr>
        <w:t>métallique, le</w:t>
      </w:r>
      <w:r w:rsidR="00090A7B">
        <w:rPr>
          <w:sz w:val="20"/>
          <w:szCs w:val="20"/>
        </w:rPr>
        <w:t xml:space="preserve"> joint caoutchouc collerette vers le haut, l’entretoise. </w:t>
      </w:r>
    </w:p>
    <w:p w14:paraId="0DD84B17" w14:textId="69BAB15B" w:rsidR="00090A7B" w:rsidRDefault="0017708E" w:rsidP="00090A7B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</w:t>
      </w:r>
      <w:r w:rsidR="00090A7B">
        <w:rPr>
          <w:sz w:val="20"/>
          <w:szCs w:val="20"/>
        </w:rPr>
        <w:t xml:space="preserve"> la tige d’amortisseur et guider la tête à travers le trou de passage de roue. </w:t>
      </w:r>
    </w:p>
    <w:p w14:paraId="3DC55865" w14:textId="2617D92A" w:rsidR="00090A7B" w:rsidRDefault="0017708E" w:rsidP="00090A7B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Mettre</w:t>
      </w:r>
      <w:r w:rsidR="00090A7B">
        <w:rPr>
          <w:sz w:val="20"/>
          <w:szCs w:val="20"/>
        </w:rPr>
        <w:t xml:space="preserve"> les rondelles supérieures dans le bon ordre </w:t>
      </w:r>
      <w:r>
        <w:rPr>
          <w:sz w:val="20"/>
          <w:szCs w:val="20"/>
        </w:rPr>
        <w:t xml:space="preserve">puis </w:t>
      </w:r>
      <w:r w:rsidR="00090A7B">
        <w:rPr>
          <w:sz w:val="20"/>
          <w:szCs w:val="20"/>
        </w:rPr>
        <w:t xml:space="preserve">serrer l’écrou au couple. </w:t>
      </w:r>
      <w:r w:rsidR="005F5715">
        <w:rPr>
          <w:sz w:val="20"/>
          <w:szCs w:val="20"/>
        </w:rPr>
        <w:t>Ne pas utiliser de pince pour serrer la tig</w:t>
      </w:r>
      <w:r w:rsidR="00090A7B">
        <w:rPr>
          <w:sz w:val="20"/>
          <w:szCs w:val="20"/>
        </w:rPr>
        <w:t>e</w:t>
      </w:r>
      <w:r w:rsidR="005F5715">
        <w:rPr>
          <w:sz w:val="20"/>
          <w:szCs w:val="20"/>
        </w:rPr>
        <w:t xml:space="preserve"> de poussée</w:t>
      </w:r>
      <w:r w:rsidR="00090A7B">
        <w:rPr>
          <w:sz w:val="20"/>
          <w:szCs w:val="20"/>
        </w:rPr>
        <w:t xml:space="preserve">, mais utiliser </w:t>
      </w:r>
      <w:r w:rsidR="005F5715">
        <w:rPr>
          <w:sz w:val="20"/>
          <w:szCs w:val="20"/>
        </w:rPr>
        <w:t>une</w:t>
      </w:r>
      <w:r w:rsidR="00090A7B">
        <w:rPr>
          <w:sz w:val="20"/>
          <w:szCs w:val="20"/>
        </w:rPr>
        <w:t xml:space="preserve"> clé adaptée au système de </w:t>
      </w:r>
      <w:r w:rsidR="005F5715">
        <w:rPr>
          <w:sz w:val="20"/>
          <w:szCs w:val="20"/>
        </w:rPr>
        <w:t xml:space="preserve">fixation </w:t>
      </w:r>
      <w:r w:rsidR="00090A7B">
        <w:rPr>
          <w:sz w:val="20"/>
          <w:szCs w:val="20"/>
        </w:rPr>
        <w:t xml:space="preserve">de la tige. Placer le contre-écrou si nécessaire. </w:t>
      </w:r>
    </w:p>
    <w:p w14:paraId="56DCE685" w14:textId="6443A3CC" w:rsidR="00090A7B" w:rsidRDefault="005F5715" w:rsidP="00090A7B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Fixer</w:t>
      </w:r>
      <w:r w:rsidR="00090A7B">
        <w:rPr>
          <w:sz w:val="20"/>
          <w:szCs w:val="20"/>
        </w:rPr>
        <w:t xml:space="preserve"> l’axe inférieur au couple.</w:t>
      </w:r>
    </w:p>
    <w:p w14:paraId="73844F42" w14:textId="5C3BC737" w:rsidR="00090A7B" w:rsidRPr="00090A7B" w:rsidRDefault="00090A7B" w:rsidP="00090A7B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Libérer la suspension. </w:t>
      </w:r>
      <w:r w:rsidR="005F5715">
        <w:rPr>
          <w:sz w:val="20"/>
          <w:szCs w:val="20"/>
        </w:rPr>
        <w:t xml:space="preserve">Mettre </w:t>
      </w:r>
      <w:r>
        <w:rPr>
          <w:sz w:val="20"/>
          <w:szCs w:val="20"/>
        </w:rPr>
        <w:t>le cric sous l’autre bras et répéter l'</w:t>
      </w:r>
      <w:r w:rsidR="005F5715">
        <w:rPr>
          <w:sz w:val="20"/>
          <w:szCs w:val="20"/>
        </w:rPr>
        <w:t>opération</w:t>
      </w:r>
    </w:p>
    <w:p w14:paraId="35E19A1A" w14:textId="77777777" w:rsidR="00090A7B" w:rsidRPr="00090A7B" w:rsidRDefault="00090A7B" w:rsidP="00090A7B">
      <w:pPr>
        <w:pStyle w:val="Paragraphedeliste"/>
        <w:ind w:left="-1134"/>
        <w:rPr>
          <w:sz w:val="20"/>
          <w:szCs w:val="20"/>
        </w:rPr>
      </w:pPr>
    </w:p>
    <w:sectPr w:rsidR="00090A7B" w:rsidRPr="00090A7B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C09"/>
    <w:multiLevelType w:val="hybridMultilevel"/>
    <w:tmpl w:val="8EDE7E34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6912B50"/>
    <w:multiLevelType w:val="hybridMultilevel"/>
    <w:tmpl w:val="658AC57C"/>
    <w:lvl w:ilvl="0" w:tplc="A98CFDB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D663219"/>
    <w:multiLevelType w:val="hybridMultilevel"/>
    <w:tmpl w:val="34B0BC5E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" w15:restartNumberingAfterBreak="0">
    <w:nsid w:val="3483505A"/>
    <w:multiLevelType w:val="hybridMultilevel"/>
    <w:tmpl w:val="76086C82"/>
    <w:lvl w:ilvl="0" w:tplc="C12A165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35E2425"/>
    <w:multiLevelType w:val="hybridMultilevel"/>
    <w:tmpl w:val="957E67C0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5FB037D"/>
    <w:multiLevelType w:val="hybridMultilevel"/>
    <w:tmpl w:val="2BBC3230"/>
    <w:lvl w:ilvl="0" w:tplc="D69CB42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A7B"/>
    <w:rsid w:val="00033105"/>
    <w:rsid w:val="00090A7B"/>
    <w:rsid w:val="000D1CDB"/>
    <w:rsid w:val="0017708E"/>
    <w:rsid w:val="00256DDF"/>
    <w:rsid w:val="005F5715"/>
    <w:rsid w:val="006A00B1"/>
    <w:rsid w:val="00B31555"/>
    <w:rsid w:val="00D67199"/>
    <w:rsid w:val="00D7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A31778"/>
  <w14:defaultImageDpi w14:val="300"/>
  <w15:docId w15:val="{0BD9BCF6-9848-CC4F-87C1-4D2975C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4</cp:revision>
  <dcterms:created xsi:type="dcterms:W3CDTF">2020-05-26T07:43:00Z</dcterms:created>
  <dcterms:modified xsi:type="dcterms:W3CDTF">2021-04-08T09:54:00Z</dcterms:modified>
</cp:coreProperties>
</file>