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8A" w:rsidRPr="00475561" w:rsidRDefault="006D208A" w:rsidP="006D208A">
      <w:pPr>
        <w:jc w:val="center"/>
        <w:rPr>
          <w:rFonts w:asciiTheme="majorHAnsi" w:eastAsia="Times New Roman" w:hAnsiTheme="majorHAnsi" w:cstheme="majorHAnsi"/>
          <w:spacing w:val="2"/>
          <w:sz w:val="21"/>
          <w:szCs w:val="21"/>
          <w:shd w:val="clear" w:color="auto" w:fill="E8EAF6"/>
          <w:lang w:eastAsia="fr-FR"/>
        </w:rPr>
      </w:pPr>
    </w:p>
    <w:p w:rsidR="006D208A" w:rsidRPr="003E34CF" w:rsidRDefault="006D208A" w:rsidP="006D208A">
      <w:pPr>
        <w:jc w:val="center"/>
        <w:rPr>
          <w:rFonts w:asciiTheme="majorHAnsi" w:eastAsia="Times New Roman" w:hAnsiTheme="majorHAnsi" w:cstheme="majorHAnsi"/>
          <w:b/>
          <w:sz w:val="28"/>
          <w:u w:val="single"/>
          <w:lang w:eastAsia="fr-FR"/>
        </w:rPr>
      </w:pPr>
      <w:r w:rsidRPr="003E34CF">
        <w:rPr>
          <w:rFonts w:asciiTheme="majorHAnsi" w:eastAsia="Times New Roman" w:hAnsiTheme="majorHAnsi" w:cstheme="majorHAnsi"/>
          <w:b/>
          <w:sz w:val="28"/>
          <w:u w:val="single"/>
          <w:lang w:eastAsia="fr-FR"/>
        </w:rPr>
        <w:t>Vérifier et régler la garde d’embrayage</w:t>
      </w:r>
    </w:p>
    <w:p w:rsidR="00CA275A" w:rsidRPr="00475561" w:rsidRDefault="00CA275A" w:rsidP="00475561">
      <w:pPr>
        <w:rPr>
          <w:rFonts w:asciiTheme="majorHAnsi" w:hAnsiTheme="majorHAnsi" w:cstheme="majorHAnsi"/>
        </w:rPr>
      </w:pPr>
    </w:p>
    <w:p w:rsidR="00CA275A" w:rsidRPr="00475561" w:rsidRDefault="00CA275A" w:rsidP="00CA275A">
      <w:pPr>
        <w:jc w:val="center"/>
        <w:rPr>
          <w:rFonts w:asciiTheme="majorHAnsi" w:hAnsiTheme="majorHAnsi" w:cstheme="majorHAnsi"/>
        </w:rPr>
      </w:pPr>
    </w:p>
    <w:p w:rsidR="00CA275A" w:rsidRPr="00475561" w:rsidRDefault="003E34CF" w:rsidP="00CA275A">
      <w:pPr>
        <w:ind w:left="-851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OBJECTIF</w:t>
      </w:r>
      <w:r w:rsidR="00332F35" w:rsidRPr="00475561">
        <w:rPr>
          <w:rFonts w:asciiTheme="majorHAnsi" w:hAnsiTheme="majorHAnsi" w:cstheme="majorHAnsi"/>
          <w:b/>
          <w:sz w:val="20"/>
          <w:szCs w:val="20"/>
        </w:rPr>
        <w:t> :</w:t>
      </w:r>
    </w:p>
    <w:p w:rsidR="00332F35" w:rsidRPr="00475561" w:rsidRDefault="00332F35" w:rsidP="00CA275A">
      <w:pPr>
        <w:ind w:left="-851"/>
        <w:rPr>
          <w:rFonts w:asciiTheme="majorHAnsi" w:hAnsiTheme="majorHAnsi" w:cstheme="majorHAnsi"/>
          <w:b/>
          <w:sz w:val="20"/>
          <w:szCs w:val="20"/>
        </w:rPr>
      </w:pPr>
    </w:p>
    <w:p w:rsidR="00CA275A" w:rsidRPr="00475561" w:rsidRDefault="00332F35" w:rsidP="00CA275A">
      <w:pPr>
        <w:pStyle w:val="Paragraphedeliste"/>
        <w:numPr>
          <w:ilvl w:val="0"/>
          <w:numId w:val="2"/>
        </w:numPr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1"/>
          <w:szCs w:val="20"/>
        </w:rPr>
        <w:t>Assurer vos qu’aucune pression n’est appliquée</w:t>
      </w:r>
      <w:r w:rsidR="00CA275A" w:rsidRPr="00475561">
        <w:rPr>
          <w:rFonts w:asciiTheme="majorHAnsi" w:hAnsiTheme="majorHAnsi" w:cstheme="majorHAnsi"/>
          <w:sz w:val="21"/>
          <w:szCs w:val="20"/>
        </w:rPr>
        <w:t xml:space="preserve"> </w:t>
      </w:r>
      <w:r w:rsidRPr="00475561">
        <w:rPr>
          <w:rFonts w:asciiTheme="majorHAnsi" w:hAnsiTheme="majorHAnsi" w:cstheme="majorHAnsi"/>
          <w:sz w:val="20"/>
          <w:szCs w:val="20"/>
        </w:rPr>
        <w:t>sur le système</w:t>
      </w:r>
    </w:p>
    <w:p w:rsidR="00CA275A" w:rsidRPr="00475561" w:rsidRDefault="00332F35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Sinon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, </w:t>
      </w:r>
      <w:r w:rsidRPr="00475561">
        <w:rPr>
          <w:rFonts w:asciiTheme="majorHAnsi" w:hAnsiTheme="majorHAnsi" w:cstheme="majorHAnsi"/>
          <w:sz w:val="20"/>
          <w:szCs w:val="20"/>
        </w:rPr>
        <w:t>lorsque la transmission est en prise, le disque risque de glisser</w:t>
      </w:r>
      <w:bookmarkStart w:id="0" w:name="_GoBack"/>
      <w:bookmarkEnd w:id="0"/>
    </w:p>
    <w:p w:rsidR="00332F35" w:rsidRPr="00475561" w:rsidRDefault="00332F35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ORGANISE</w:t>
      </w:r>
      <w:r w:rsidR="00EF63CC" w:rsidRPr="00475561">
        <w:rPr>
          <w:rFonts w:asciiTheme="majorHAnsi" w:hAnsiTheme="majorHAnsi" w:cstheme="majorHAnsi"/>
          <w:sz w:val="20"/>
          <w:szCs w:val="20"/>
        </w:rPr>
        <w:t>R LE</w:t>
      </w:r>
      <w:r w:rsidRPr="00475561">
        <w:rPr>
          <w:rFonts w:asciiTheme="majorHAnsi" w:hAnsiTheme="majorHAnsi" w:cstheme="majorHAnsi"/>
          <w:sz w:val="20"/>
          <w:szCs w:val="20"/>
        </w:rPr>
        <w:t xml:space="preserve"> POSTE DE TRAVAIL </w:t>
      </w:r>
    </w:p>
    <w:p w:rsidR="00332F35" w:rsidRPr="00475561" w:rsidRDefault="00332F35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0F4A32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Noter</w:t>
      </w:r>
      <w:r w:rsidR="00D1320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A275A" w:rsidRPr="00475561">
        <w:rPr>
          <w:rFonts w:asciiTheme="majorHAnsi" w:hAnsiTheme="majorHAnsi" w:cstheme="majorHAnsi"/>
          <w:b/>
          <w:sz w:val="20"/>
          <w:szCs w:val="20"/>
        </w:rPr>
        <w:t>dans la revue technique du véhicule</w:t>
      </w:r>
    </w:p>
    <w:p w:rsidR="00CA275A" w:rsidRPr="00475561" w:rsidRDefault="00CA275A" w:rsidP="00EF63CC">
      <w:pPr>
        <w:pStyle w:val="Paragraphedelist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Le </w:t>
      </w:r>
      <w:r w:rsidR="00EF63CC" w:rsidRPr="00475561">
        <w:rPr>
          <w:rFonts w:asciiTheme="majorHAnsi" w:hAnsiTheme="majorHAnsi" w:cstheme="majorHAnsi"/>
          <w:sz w:val="20"/>
          <w:szCs w:val="20"/>
        </w:rPr>
        <w:t xml:space="preserve">modèle </w:t>
      </w:r>
      <w:r w:rsidRPr="00475561">
        <w:rPr>
          <w:rFonts w:asciiTheme="majorHAnsi" w:hAnsiTheme="majorHAnsi" w:cstheme="majorHAnsi"/>
          <w:sz w:val="20"/>
          <w:szCs w:val="20"/>
        </w:rPr>
        <w:t>de garde d’embrayage.</w:t>
      </w:r>
    </w:p>
    <w:p w:rsidR="00CA275A" w:rsidRPr="00475561" w:rsidRDefault="00CA275A" w:rsidP="00EF63CC">
      <w:pPr>
        <w:pStyle w:val="Paragraphedelist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Le </w:t>
      </w:r>
      <w:r w:rsidR="00EF63CC" w:rsidRPr="00475561">
        <w:rPr>
          <w:rFonts w:asciiTheme="majorHAnsi" w:hAnsiTheme="majorHAnsi" w:cstheme="majorHAnsi"/>
          <w:sz w:val="20"/>
          <w:szCs w:val="20"/>
        </w:rPr>
        <w:t>modèle</w:t>
      </w:r>
      <w:r w:rsidRPr="00475561">
        <w:rPr>
          <w:rFonts w:asciiTheme="majorHAnsi" w:hAnsiTheme="majorHAnsi" w:cstheme="majorHAnsi"/>
          <w:sz w:val="20"/>
          <w:szCs w:val="20"/>
        </w:rPr>
        <w:t xml:space="preserve"> de commande (par câble ou hydraulique). </w:t>
      </w:r>
    </w:p>
    <w:p w:rsidR="00CA275A" w:rsidRPr="00475561" w:rsidRDefault="00CA275A" w:rsidP="00EF63CC">
      <w:pPr>
        <w:pStyle w:val="Paragraphedelist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La valeur du jeu.</w:t>
      </w:r>
    </w:p>
    <w:p w:rsidR="00CA275A" w:rsidRPr="00475561" w:rsidRDefault="00CA275A" w:rsidP="00EF63CC">
      <w:pPr>
        <w:pStyle w:val="Paragraphedeliste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La </w:t>
      </w:r>
      <w:r w:rsidR="00EF63CC" w:rsidRPr="00475561">
        <w:rPr>
          <w:rFonts w:asciiTheme="majorHAnsi" w:hAnsiTheme="majorHAnsi" w:cstheme="majorHAnsi"/>
          <w:sz w:val="20"/>
          <w:szCs w:val="20"/>
        </w:rPr>
        <w:t>démarche</w:t>
      </w:r>
      <w:r w:rsidRPr="00475561">
        <w:rPr>
          <w:rFonts w:asciiTheme="majorHAnsi" w:hAnsiTheme="majorHAnsi" w:cstheme="majorHAnsi"/>
          <w:sz w:val="20"/>
          <w:szCs w:val="20"/>
        </w:rPr>
        <w:t xml:space="preserve"> préconisée. </w:t>
      </w: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EF63CC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PROCEDER À </w:t>
      </w:r>
      <w:r w:rsidR="00A61D29">
        <w:rPr>
          <w:rFonts w:asciiTheme="majorHAnsi" w:hAnsiTheme="majorHAnsi" w:cstheme="majorHAnsi"/>
          <w:sz w:val="20"/>
          <w:szCs w:val="20"/>
        </w:rPr>
        <w:t>L’OPÉRATION</w:t>
      </w:r>
    </w:p>
    <w:p w:rsidR="00CA275A" w:rsidRPr="00475561" w:rsidRDefault="00D52843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  <w:r w:rsidRPr="00475561">
        <w:rPr>
          <w:rFonts w:asciiTheme="majorHAnsi" w:hAnsiTheme="majorHAnsi" w:cstheme="majorHAnsi"/>
          <w:b/>
          <w:sz w:val="20"/>
          <w:szCs w:val="20"/>
        </w:rPr>
        <w:t>Vérifications préalables</w:t>
      </w:r>
    </w:p>
    <w:p w:rsidR="00CA275A" w:rsidRPr="00475561" w:rsidRDefault="00CA275A" w:rsidP="009B36FA">
      <w:pPr>
        <w:pStyle w:val="Paragraphedeliste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La butée </w:t>
      </w:r>
      <w:r w:rsidR="00D52843" w:rsidRPr="00475561">
        <w:rPr>
          <w:rFonts w:asciiTheme="majorHAnsi" w:hAnsiTheme="majorHAnsi" w:cstheme="majorHAnsi"/>
          <w:sz w:val="20"/>
          <w:szCs w:val="20"/>
        </w:rPr>
        <w:t>reste toujours sur le dispositif</w:t>
      </w:r>
      <w:r w:rsidRPr="00475561">
        <w:rPr>
          <w:rFonts w:asciiTheme="majorHAnsi" w:hAnsiTheme="majorHAnsi" w:cstheme="majorHAnsi"/>
          <w:sz w:val="20"/>
          <w:szCs w:val="20"/>
        </w:rPr>
        <w:t>.</w:t>
      </w:r>
    </w:p>
    <w:p w:rsidR="00CA275A" w:rsidRPr="00475561" w:rsidRDefault="00D52843" w:rsidP="009B36FA">
      <w:pPr>
        <w:pStyle w:val="Paragraphedeliste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Déterminer 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le jeu entre </w:t>
      </w:r>
      <w:r w:rsidR="009B36FA" w:rsidRPr="00475561">
        <w:rPr>
          <w:rFonts w:asciiTheme="majorHAnsi" w:hAnsiTheme="majorHAnsi" w:cstheme="majorHAnsi"/>
          <w:sz w:val="20"/>
          <w:szCs w:val="20"/>
        </w:rPr>
        <w:t>l’emplacement de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 repos de la pédale et sa </w:t>
      </w:r>
      <w:r w:rsidR="009B36FA" w:rsidRPr="00475561">
        <w:rPr>
          <w:rFonts w:asciiTheme="majorHAnsi" w:hAnsiTheme="majorHAnsi" w:cstheme="majorHAnsi"/>
          <w:sz w:val="20"/>
          <w:szCs w:val="20"/>
        </w:rPr>
        <w:t>posture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 en fin de course haute. </w:t>
      </w: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Nota : </w:t>
      </w:r>
      <w:r w:rsidR="009B36FA" w:rsidRPr="00475561">
        <w:rPr>
          <w:rFonts w:asciiTheme="majorHAnsi" w:hAnsiTheme="majorHAnsi" w:cstheme="majorHAnsi"/>
          <w:sz w:val="20"/>
          <w:szCs w:val="20"/>
        </w:rPr>
        <w:t>O</w:t>
      </w:r>
      <w:r w:rsidRPr="00475561">
        <w:rPr>
          <w:rFonts w:asciiTheme="majorHAnsi" w:hAnsiTheme="majorHAnsi" w:cstheme="majorHAnsi"/>
          <w:sz w:val="20"/>
          <w:szCs w:val="20"/>
        </w:rPr>
        <w:t xml:space="preserve">n observe </w:t>
      </w:r>
      <w:r w:rsidR="009B36FA" w:rsidRPr="00475561">
        <w:rPr>
          <w:rFonts w:asciiTheme="majorHAnsi" w:hAnsiTheme="majorHAnsi" w:cstheme="majorHAnsi"/>
          <w:sz w:val="20"/>
          <w:szCs w:val="20"/>
        </w:rPr>
        <w:t>alors que</w:t>
      </w:r>
      <w:r w:rsidRPr="00475561">
        <w:rPr>
          <w:rFonts w:asciiTheme="majorHAnsi" w:hAnsiTheme="majorHAnsi" w:cstheme="majorHAnsi"/>
          <w:sz w:val="20"/>
          <w:szCs w:val="20"/>
        </w:rPr>
        <w:t xml:space="preserve"> les pédales de frein et d’embrayage sont à la même hauteur. </w:t>
      </w:r>
    </w:p>
    <w:p w:rsidR="009B36FA" w:rsidRPr="00475561" w:rsidRDefault="009B36FA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  <w:r w:rsidRPr="00475561">
        <w:rPr>
          <w:rFonts w:asciiTheme="majorHAnsi" w:hAnsiTheme="majorHAnsi" w:cstheme="majorHAnsi"/>
          <w:b/>
          <w:sz w:val="20"/>
          <w:szCs w:val="20"/>
        </w:rPr>
        <w:t xml:space="preserve">Vérifier </w:t>
      </w:r>
    </w:p>
    <w:p w:rsidR="00E63E09" w:rsidRPr="00475561" w:rsidRDefault="00E63E09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</w:p>
    <w:p w:rsidR="00CA275A" w:rsidRPr="00475561" w:rsidRDefault="009B36FA" w:rsidP="00E63E09">
      <w:pPr>
        <w:pStyle w:val="Paragraphedeliste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Qu’il n’y ait </w:t>
      </w:r>
      <w:r w:rsidR="00E63E09" w:rsidRPr="00475561">
        <w:rPr>
          <w:rFonts w:asciiTheme="majorHAnsi" w:hAnsiTheme="majorHAnsi" w:cstheme="majorHAnsi"/>
          <w:sz w:val="20"/>
          <w:szCs w:val="20"/>
        </w:rPr>
        <w:t>aucun obstacle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 sur la course de la commande de débrayage.</w:t>
      </w:r>
    </w:p>
    <w:p w:rsidR="00CA275A" w:rsidRPr="00475561" w:rsidRDefault="00E63E09" w:rsidP="00E63E09">
      <w:pPr>
        <w:pStyle w:val="Paragraphedeliste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La jointure 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du câble de commande de débrayage sur le tablier. </w:t>
      </w:r>
    </w:p>
    <w:p w:rsidR="00CA275A" w:rsidRPr="00475561" w:rsidRDefault="00E63E09" w:rsidP="00E63E09">
      <w:pPr>
        <w:pStyle w:val="Paragraphedeliste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La trajectoire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 du câble de commande de débrayage. </w:t>
      </w:r>
    </w:p>
    <w:p w:rsidR="00E63E09" w:rsidRPr="00475561" w:rsidRDefault="00E63E09" w:rsidP="00E63E09">
      <w:pPr>
        <w:pStyle w:val="Paragraphedeliste"/>
        <w:ind w:left="-49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  <w:r w:rsidRPr="00475561">
        <w:rPr>
          <w:rFonts w:asciiTheme="majorHAnsi" w:hAnsiTheme="majorHAnsi" w:cstheme="majorHAnsi"/>
          <w:b/>
          <w:sz w:val="20"/>
          <w:szCs w:val="20"/>
        </w:rPr>
        <w:t xml:space="preserve">Régler </w:t>
      </w:r>
    </w:p>
    <w:p w:rsidR="00E63E09" w:rsidRPr="00475561" w:rsidRDefault="00E63E09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</w:p>
    <w:p w:rsidR="00CA275A" w:rsidRPr="00475561" w:rsidRDefault="00E95AF7" w:rsidP="00CA275A">
      <w:pPr>
        <w:pStyle w:val="Paragraphedeliste"/>
        <w:numPr>
          <w:ilvl w:val="0"/>
          <w:numId w:val="7"/>
        </w:numPr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Desserrez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 le contre-écrou </w:t>
      </w:r>
      <w:r w:rsidRPr="00475561">
        <w:rPr>
          <w:rFonts w:asciiTheme="majorHAnsi" w:hAnsiTheme="majorHAnsi" w:cstheme="majorHAnsi"/>
          <w:sz w:val="20"/>
          <w:szCs w:val="20"/>
        </w:rPr>
        <w:t>se situant sur</w:t>
      </w:r>
      <w:r w:rsidR="00CA275A" w:rsidRPr="00475561">
        <w:rPr>
          <w:rFonts w:asciiTheme="majorHAnsi" w:hAnsiTheme="majorHAnsi" w:cstheme="majorHAnsi"/>
          <w:sz w:val="20"/>
          <w:szCs w:val="20"/>
        </w:rPr>
        <w:t xml:space="preserve"> la tige filetée ou sur la gaine</w:t>
      </w:r>
      <w:r w:rsidR="00E63E09" w:rsidRPr="00475561">
        <w:rPr>
          <w:rFonts w:asciiTheme="majorHAnsi" w:hAnsiTheme="majorHAnsi" w:cstheme="majorHAnsi"/>
          <w:sz w:val="20"/>
          <w:szCs w:val="20"/>
        </w:rPr>
        <w:t>.</w:t>
      </w:r>
    </w:p>
    <w:p w:rsidR="00CA275A" w:rsidRPr="00475561" w:rsidRDefault="00CA275A" w:rsidP="00CA275A">
      <w:pPr>
        <w:pStyle w:val="Paragraphedeliste"/>
        <w:numPr>
          <w:ilvl w:val="0"/>
          <w:numId w:val="7"/>
        </w:numPr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Tourne</w:t>
      </w:r>
      <w:r w:rsidR="00E95AF7" w:rsidRPr="00475561">
        <w:rPr>
          <w:rFonts w:asciiTheme="majorHAnsi" w:hAnsiTheme="majorHAnsi" w:cstheme="majorHAnsi"/>
          <w:sz w:val="20"/>
          <w:szCs w:val="20"/>
        </w:rPr>
        <w:t>z</w:t>
      </w:r>
      <w:r w:rsidRPr="00475561">
        <w:rPr>
          <w:rFonts w:asciiTheme="majorHAnsi" w:hAnsiTheme="majorHAnsi" w:cstheme="majorHAnsi"/>
          <w:sz w:val="20"/>
          <w:szCs w:val="20"/>
        </w:rPr>
        <w:t xml:space="preserve"> l’écrou de réglage pour </w:t>
      </w:r>
      <w:r w:rsidR="00E95AF7" w:rsidRPr="00475561">
        <w:rPr>
          <w:rFonts w:asciiTheme="majorHAnsi" w:hAnsiTheme="majorHAnsi" w:cstheme="majorHAnsi"/>
          <w:sz w:val="20"/>
          <w:szCs w:val="20"/>
        </w:rPr>
        <w:t>régler l’écart à la valeur souhaitée</w:t>
      </w:r>
    </w:p>
    <w:p w:rsidR="00CA275A" w:rsidRPr="00475561" w:rsidRDefault="00E95AF7" w:rsidP="00CA275A">
      <w:pPr>
        <w:pStyle w:val="Paragraphedeliste"/>
        <w:numPr>
          <w:ilvl w:val="0"/>
          <w:numId w:val="7"/>
        </w:numPr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Serrez le contre -</w:t>
      </w:r>
      <w:r w:rsidR="00AD300B" w:rsidRPr="00475561">
        <w:rPr>
          <w:rFonts w:asciiTheme="majorHAnsi" w:hAnsiTheme="majorHAnsi" w:cstheme="majorHAnsi"/>
          <w:sz w:val="20"/>
          <w:szCs w:val="20"/>
        </w:rPr>
        <w:t>écrou</w:t>
      </w:r>
    </w:p>
    <w:p w:rsidR="00CA275A" w:rsidRPr="00475561" w:rsidRDefault="00E95AF7" w:rsidP="00CA275A">
      <w:pPr>
        <w:pStyle w:val="Paragraphedeliste"/>
        <w:numPr>
          <w:ilvl w:val="0"/>
          <w:numId w:val="7"/>
        </w:numPr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Vérifier à nouveau</w:t>
      </w:r>
    </w:p>
    <w:p w:rsidR="00E95AF7" w:rsidRPr="00475561" w:rsidRDefault="00E95AF7" w:rsidP="00E95AF7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E95AF7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Si la commande par câble a une fonction de réglage automatique, veuillez consulter la méthode du fabricant.</w:t>
      </w:r>
    </w:p>
    <w:p w:rsidR="00E95AF7" w:rsidRPr="00475561" w:rsidRDefault="00E95AF7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CA275A" w:rsidRPr="00475561" w:rsidRDefault="00CA275A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Dans le cas d’une commande 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hydraulique, le réglage </w:t>
      </w:r>
      <w:r w:rsidR="00E95AF7" w:rsidRPr="00475561">
        <w:rPr>
          <w:rFonts w:asciiTheme="majorHAnsi" w:hAnsiTheme="majorHAnsi" w:cstheme="majorHAnsi"/>
          <w:sz w:val="20"/>
          <w:szCs w:val="20"/>
        </w:rPr>
        <w:t>se fait sur la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 tige de poussée du cylindre récepteur. Le cylindre récepteur n</w:t>
      </w:r>
      <w:r w:rsidR="00E95AF7" w:rsidRPr="00475561">
        <w:rPr>
          <w:rFonts w:asciiTheme="majorHAnsi" w:hAnsiTheme="majorHAnsi" w:cstheme="majorHAnsi"/>
          <w:sz w:val="20"/>
          <w:szCs w:val="20"/>
        </w:rPr>
        <w:t>’est pas toujours réglable.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 Dans ce cas </w:t>
      </w:r>
      <w:r w:rsidR="00E95AF7" w:rsidRPr="00475561">
        <w:rPr>
          <w:rFonts w:asciiTheme="majorHAnsi" w:hAnsiTheme="majorHAnsi" w:cstheme="majorHAnsi"/>
          <w:sz w:val="20"/>
          <w:szCs w:val="20"/>
        </w:rPr>
        <w:t>si l’écart est trop grand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, il faut effectuer une purge du circuit (voir méthode </w:t>
      </w:r>
      <w:r w:rsidR="00E95AF7" w:rsidRPr="00475561">
        <w:rPr>
          <w:rFonts w:asciiTheme="majorHAnsi" w:hAnsiTheme="majorHAnsi" w:cstheme="majorHAnsi"/>
          <w:sz w:val="20"/>
          <w:szCs w:val="20"/>
        </w:rPr>
        <w:t>du fabricant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). </w:t>
      </w:r>
    </w:p>
    <w:p w:rsidR="00E95AF7" w:rsidRPr="00475561" w:rsidRDefault="00E95AF7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F94D5F" w:rsidRPr="00475561" w:rsidRDefault="00F94D5F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Pour effectuer la purge du circuit </w:t>
      </w:r>
      <w:r w:rsidR="00AD300B" w:rsidRPr="00475561">
        <w:rPr>
          <w:rFonts w:asciiTheme="majorHAnsi" w:hAnsiTheme="majorHAnsi" w:cstheme="majorHAnsi"/>
          <w:sz w:val="20"/>
          <w:szCs w:val="20"/>
        </w:rPr>
        <w:t>n’utilisez pas le dispositif d’échappement automatique</w:t>
      </w:r>
      <w:r w:rsidRPr="00475561">
        <w:rPr>
          <w:rFonts w:asciiTheme="majorHAnsi" w:hAnsiTheme="majorHAnsi" w:cstheme="majorHAnsi"/>
          <w:sz w:val="20"/>
          <w:szCs w:val="20"/>
        </w:rPr>
        <w:t xml:space="preserve"> (</w:t>
      </w:r>
      <w:r w:rsidR="00AD300B" w:rsidRPr="00475561">
        <w:rPr>
          <w:rFonts w:asciiTheme="majorHAnsi" w:hAnsiTheme="majorHAnsi" w:cstheme="majorHAnsi"/>
          <w:sz w:val="20"/>
          <w:szCs w:val="20"/>
        </w:rPr>
        <w:t>l’émulsion dans le circuit est dangereuse</w:t>
      </w:r>
      <w:r w:rsidRPr="00475561">
        <w:rPr>
          <w:rFonts w:asciiTheme="majorHAnsi" w:hAnsiTheme="majorHAnsi" w:cstheme="majorHAnsi"/>
          <w:sz w:val="20"/>
          <w:szCs w:val="20"/>
        </w:rPr>
        <w:t>)</w:t>
      </w:r>
      <w:r w:rsidR="00AD300B" w:rsidRPr="00475561">
        <w:rPr>
          <w:rFonts w:asciiTheme="majorHAnsi" w:hAnsiTheme="majorHAnsi" w:cstheme="majorHAnsi"/>
          <w:sz w:val="20"/>
          <w:szCs w:val="20"/>
        </w:rPr>
        <w:t>, mais n’utilisez que</w:t>
      </w:r>
      <w:r w:rsidRPr="00475561">
        <w:rPr>
          <w:rFonts w:asciiTheme="majorHAnsi" w:hAnsiTheme="majorHAnsi" w:cstheme="majorHAnsi"/>
          <w:sz w:val="20"/>
          <w:szCs w:val="20"/>
        </w:rPr>
        <w:t xml:space="preserve"> du liquide de frein neuf. </w:t>
      </w:r>
    </w:p>
    <w:p w:rsidR="00AD300B" w:rsidRPr="00475561" w:rsidRDefault="00AD300B" w:rsidP="00CA275A">
      <w:pPr>
        <w:pStyle w:val="Paragraphedeliste"/>
        <w:ind w:left="-851"/>
        <w:rPr>
          <w:rFonts w:asciiTheme="majorHAnsi" w:hAnsiTheme="majorHAnsi" w:cstheme="majorHAnsi"/>
          <w:sz w:val="20"/>
          <w:szCs w:val="20"/>
        </w:rPr>
      </w:pPr>
    </w:p>
    <w:p w:rsidR="00F94D5F" w:rsidRPr="00475561" w:rsidRDefault="000F4A32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Vérifier</w:t>
      </w:r>
    </w:p>
    <w:p w:rsidR="00AD300B" w:rsidRPr="00475561" w:rsidRDefault="00AD300B" w:rsidP="00CA275A">
      <w:pPr>
        <w:pStyle w:val="Paragraphedeliste"/>
        <w:ind w:left="-851"/>
        <w:rPr>
          <w:rFonts w:asciiTheme="majorHAnsi" w:hAnsiTheme="majorHAnsi" w:cstheme="majorHAnsi"/>
          <w:b/>
          <w:sz w:val="20"/>
          <w:szCs w:val="20"/>
        </w:rPr>
      </w:pPr>
    </w:p>
    <w:p w:rsidR="00F94D5F" w:rsidRPr="00475561" w:rsidRDefault="00F94D5F" w:rsidP="00F94D5F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Serrer le frein à main ou mettre une cale</w:t>
      </w:r>
      <w:r w:rsidR="00AD300B" w:rsidRPr="00475561">
        <w:rPr>
          <w:rFonts w:asciiTheme="majorHAnsi" w:hAnsiTheme="majorHAnsi" w:cstheme="majorHAnsi"/>
          <w:sz w:val="20"/>
          <w:szCs w:val="20"/>
        </w:rPr>
        <w:t xml:space="preserve"> si nécessaire</w:t>
      </w:r>
      <w:r w:rsidRPr="00475561">
        <w:rPr>
          <w:rFonts w:asciiTheme="majorHAnsi" w:hAnsiTheme="majorHAnsi" w:cstheme="majorHAnsi"/>
          <w:sz w:val="20"/>
          <w:szCs w:val="20"/>
        </w:rPr>
        <w:t xml:space="preserve">. </w:t>
      </w:r>
      <w:r w:rsidR="00AD300B" w:rsidRPr="00475561">
        <w:rPr>
          <w:rFonts w:asciiTheme="majorHAnsi" w:hAnsiTheme="majorHAnsi" w:cstheme="majorHAnsi"/>
          <w:sz w:val="20"/>
          <w:szCs w:val="20"/>
        </w:rPr>
        <w:t>Allumez le véhicule</w:t>
      </w:r>
    </w:p>
    <w:p w:rsidR="00F94D5F" w:rsidRPr="00475561" w:rsidRDefault="00AD300B" w:rsidP="00F94D5F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Relâchez</w:t>
      </w:r>
      <w:r w:rsidR="00475561">
        <w:rPr>
          <w:rFonts w:asciiTheme="majorHAnsi" w:hAnsiTheme="majorHAnsi" w:cstheme="majorHAnsi"/>
          <w:sz w:val="20"/>
          <w:szCs w:val="20"/>
        </w:rPr>
        <w:t xml:space="preserve"> l’embrayage</w:t>
      </w:r>
      <w:r w:rsidRPr="00475561">
        <w:rPr>
          <w:rFonts w:asciiTheme="majorHAnsi" w:hAnsiTheme="majorHAnsi" w:cstheme="majorHAnsi"/>
          <w:sz w:val="20"/>
          <w:szCs w:val="20"/>
        </w:rPr>
        <w:t xml:space="preserve"> et passer à la </w:t>
      </w:r>
      <w:r w:rsidR="00F94D5F" w:rsidRPr="00475561">
        <w:rPr>
          <w:rFonts w:asciiTheme="majorHAnsi" w:hAnsiTheme="majorHAnsi" w:cstheme="majorHAnsi"/>
          <w:sz w:val="20"/>
          <w:szCs w:val="20"/>
        </w:rPr>
        <w:t>4</w:t>
      </w:r>
      <w:r w:rsidR="00F94D5F" w:rsidRPr="00475561">
        <w:rPr>
          <w:rFonts w:asciiTheme="majorHAnsi" w:hAnsiTheme="majorHAnsi" w:cstheme="majorHAnsi"/>
          <w:sz w:val="20"/>
          <w:szCs w:val="20"/>
          <w:vertAlign w:val="superscript"/>
        </w:rPr>
        <w:t>e</w:t>
      </w:r>
      <w:r w:rsidRPr="00475561">
        <w:rPr>
          <w:rFonts w:asciiTheme="majorHAnsi" w:hAnsiTheme="majorHAnsi" w:cstheme="majorHAnsi"/>
          <w:sz w:val="20"/>
          <w:szCs w:val="20"/>
          <w:vertAlign w:val="superscript"/>
        </w:rPr>
        <w:t>me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 ou 5</w:t>
      </w:r>
      <w:r w:rsidRPr="00475561">
        <w:rPr>
          <w:rFonts w:asciiTheme="majorHAnsi" w:hAnsiTheme="majorHAnsi" w:cstheme="majorHAnsi"/>
          <w:sz w:val="20"/>
          <w:szCs w:val="20"/>
          <w:vertAlign w:val="superscript"/>
        </w:rPr>
        <w:t xml:space="preserve">eme </w:t>
      </w:r>
      <w:r w:rsidR="00F94D5F" w:rsidRPr="00475561">
        <w:rPr>
          <w:rFonts w:asciiTheme="majorHAnsi" w:hAnsiTheme="majorHAnsi" w:cstheme="majorHAnsi"/>
          <w:sz w:val="20"/>
          <w:szCs w:val="20"/>
        </w:rPr>
        <w:t>vitesse.</w:t>
      </w:r>
    </w:p>
    <w:p w:rsidR="00F94D5F" w:rsidRPr="00475561" w:rsidRDefault="00F94D5F" w:rsidP="00F94D5F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Accélérer fortement</w:t>
      </w:r>
      <w:r w:rsidR="00AD300B" w:rsidRPr="00475561">
        <w:rPr>
          <w:rFonts w:asciiTheme="majorHAnsi" w:hAnsiTheme="majorHAnsi" w:cstheme="majorHAnsi"/>
          <w:sz w:val="20"/>
          <w:szCs w:val="20"/>
        </w:rPr>
        <w:t xml:space="preserve"> le moteur </w:t>
      </w:r>
      <w:r w:rsidR="006030EF" w:rsidRPr="00475561">
        <w:rPr>
          <w:rFonts w:asciiTheme="majorHAnsi" w:hAnsiTheme="majorHAnsi" w:cstheme="majorHAnsi"/>
          <w:sz w:val="20"/>
          <w:szCs w:val="20"/>
        </w:rPr>
        <w:t>puis lâcher</w:t>
      </w:r>
      <w:r w:rsidRPr="00475561">
        <w:rPr>
          <w:rFonts w:asciiTheme="majorHAnsi" w:hAnsiTheme="majorHAnsi" w:cstheme="majorHAnsi"/>
          <w:sz w:val="20"/>
          <w:szCs w:val="20"/>
        </w:rPr>
        <w:t xml:space="preserve"> la pédale d’embrayage : le moteur doit caler immédiatement. </w:t>
      </w:r>
    </w:p>
    <w:p w:rsidR="00F94D5F" w:rsidRPr="00475561" w:rsidRDefault="00F94D5F" w:rsidP="00F94D5F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Si </w:t>
      </w:r>
      <w:r w:rsidR="006030EF" w:rsidRPr="00475561">
        <w:rPr>
          <w:rFonts w:asciiTheme="majorHAnsi" w:hAnsiTheme="majorHAnsi" w:cstheme="majorHAnsi"/>
          <w:sz w:val="20"/>
          <w:szCs w:val="20"/>
        </w:rPr>
        <w:t>le moteur ne cale pas immédiatement après le réglage complet</w:t>
      </w:r>
      <w:r w:rsidRPr="00475561">
        <w:rPr>
          <w:rFonts w:asciiTheme="majorHAnsi" w:hAnsiTheme="majorHAnsi" w:cstheme="majorHAnsi"/>
          <w:sz w:val="20"/>
          <w:szCs w:val="20"/>
        </w:rPr>
        <w:t> :</w:t>
      </w:r>
      <w:r w:rsidR="006030EF" w:rsidRPr="00475561">
        <w:rPr>
          <w:rFonts w:asciiTheme="majorHAnsi" w:hAnsiTheme="majorHAnsi" w:cstheme="majorHAnsi"/>
          <w:sz w:val="20"/>
          <w:szCs w:val="20"/>
        </w:rPr>
        <w:t xml:space="preserve"> Ça peut être :</w:t>
      </w:r>
    </w:p>
    <w:p w:rsidR="00F94D5F" w:rsidRPr="00475561" w:rsidRDefault="006030EF" w:rsidP="00F94D5F">
      <w:pPr>
        <w:pStyle w:val="Paragraphedeliste"/>
        <w:numPr>
          <w:ilvl w:val="0"/>
          <w:numId w:val="9"/>
        </w:numPr>
        <w:ind w:left="0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Un affaiblissement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 des garnitures du disque ou </w:t>
      </w:r>
      <w:r w:rsidRPr="00475561">
        <w:rPr>
          <w:rFonts w:asciiTheme="majorHAnsi" w:hAnsiTheme="majorHAnsi" w:cstheme="majorHAnsi"/>
          <w:sz w:val="20"/>
          <w:szCs w:val="20"/>
        </w:rPr>
        <w:t>d’une insuffisance du mécanisme</w:t>
      </w:r>
    </w:p>
    <w:p w:rsidR="00F94D5F" w:rsidRPr="00475561" w:rsidRDefault="00475561" w:rsidP="00F94D5F">
      <w:pPr>
        <w:pStyle w:val="Paragraphedeliste"/>
        <w:numPr>
          <w:ilvl w:val="0"/>
          <w:numId w:val="9"/>
        </w:numPr>
        <w:ind w:left="0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>De l’huile</w:t>
      </w:r>
      <w:r w:rsidR="00F94D5F" w:rsidRPr="00475561">
        <w:rPr>
          <w:rFonts w:asciiTheme="majorHAnsi" w:hAnsiTheme="majorHAnsi" w:cstheme="majorHAnsi"/>
          <w:sz w:val="20"/>
          <w:szCs w:val="20"/>
        </w:rPr>
        <w:t xml:space="preserve"> sur la garniture du disque.</w:t>
      </w:r>
    </w:p>
    <w:p w:rsidR="00F94D5F" w:rsidRPr="00475561" w:rsidRDefault="00F94D5F" w:rsidP="00F94D5F">
      <w:pPr>
        <w:pStyle w:val="Paragraphedeliste"/>
        <w:numPr>
          <w:ilvl w:val="0"/>
          <w:numId w:val="9"/>
        </w:numPr>
        <w:ind w:left="0"/>
        <w:rPr>
          <w:rFonts w:asciiTheme="majorHAnsi" w:hAnsiTheme="majorHAnsi" w:cstheme="majorHAnsi"/>
          <w:sz w:val="20"/>
          <w:szCs w:val="20"/>
        </w:rPr>
      </w:pPr>
      <w:r w:rsidRPr="00475561">
        <w:rPr>
          <w:rFonts w:asciiTheme="majorHAnsi" w:hAnsiTheme="majorHAnsi" w:cstheme="majorHAnsi"/>
          <w:sz w:val="20"/>
          <w:szCs w:val="20"/>
        </w:rPr>
        <w:t xml:space="preserve">Dans les deux cas, </w:t>
      </w:r>
      <w:r w:rsidR="006030EF" w:rsidRPr="00475561">
        <w:rPr>
          <w:rFonts w:asciiTheme="majorHAnsi" w:hAnsiTheme="majorHAnsi" w:cstheme="majorHAnsi"/>
          <w:sz w:val="20"/>
          <w:szCs w:val="20"/>
        </w:rPr>
        <w:t>l’embrayage doit être remplacé</w:t>
      </w:r>
      <w:r w:rsidRPr="00475561">
        <w:rPr>
          <w:rFonts w:asciiTheme="majorHAnsi" w:hAnsiTheme="majorHAnsi" w:cstheme="majorHAnsi"/>
          <w:sz w:val="20"/>
          <w:szCs w:val="20"/>
        </w:rPr>
        <w:t xml:space="preserve"> </w:t>
      </w:r>
      <w:r w:rsidR="00600951" w:rsidRPr="00475561">
        <w:rPr>
          <w:rFonts w:asciiTheme="majorHAnsi" w:hAnsiTheme="majorHAnsi" w:cstheme="majorHAnsi"/>
          <w:sz w:val="20"/>
          <w:szCs w:val="20"/>
        </w:rPr>
        <w:t>(voir</w:t>
      </w:r>
      <w:r w:rsidRPr="00475561">
        <w:rPr>
          <w:rFonts w:asciiTheme="majorHAnsi" w:hAnsiTheme="majorHAnsi" w:cstheme="majorHAnsi"/>
          <w:sz w:val="20"/>
          <w:szCs w:val="20"/>
        </w:rPr>
        <w:t xml:space="preserve"> fiche suivante). </w:t>
      </w:r>
    </w:p>
    <w:p w:rsidR="00CA275A" w:rsidRPr="00475561" w:rsidRDefault="00CA275A" w:rsidP="00F94D5F">
      <w:pPr>
        <w:pStyle w:val="Paragraphedeliste"/>
        <w:ind w:left="0"/>
        <w:rPr>
          <w:rFonts w:asciiTheme="majorHAnsi" w:hAnsiTheme="majorHAnsi" w:cstheme="majorHAnsi"/>
          <w:sz w:val="20"/>
          <w:szCs w:val="20"/>
        </w:rPr>
      </w:pPr>
    </w:p>
    <w:sectPr w:rsidR="00CA275A" w:rsidRPr="00475561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D41"/>
    <w:multiLevelType w:val="hybridMultilevel"/>
    <w:tmpl w:val="3A8EB140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7CD5205"/>
    <w:multiLevelType w:val="hybridMultilevel"/>
    <w:tmpl w:val="8864D0CE"/>
    <w:lvl w:ilvl="0" w:tplc="0C0A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DA44480"/>
    <w:multiLevelType w:val="hybridMultilevel"/>
    <w:tmpl w:val="52A0162E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82F42A1"/>
    <w:multiLevelType w:val="hybridMultilevel"/>
    <w:tmpl w:val="D2CED44E"/>
    <w:lvl w:ilvl="0" w:tplc="040C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3FCC4633"/>
    <w:multiLevelType w:val="hybridMultilevel"/>
    <w:tmpl w:val="A4D27522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4F0F3CC4"/>
    <w:multiLevelType w:val="hybridMultilevel"/>
    <w:tmpl w:val="BD24A9E0"/>
    <w:lvl w:ilvl="0" w:tplc="43F0B03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4F0F3E09"/>
    <w:multiLevelType w:val="hybridMultilevel"/>
    <w:tmpl w:val="39EC872A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56F25313"/>
    <w:multiLevelType w:val="hybridMultilevel"/>
    <w:tmpl w:val="993873D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21F1370"/>
    <w:multiLevelType w:val="hybridMultilevel"/>
    <w:tmpl w:val="D5D4E8D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6E80D4B"/>
    <w:multiLevelType w:val="hybridMultilevel"/>
    <w:tmpl w:val="61FA1770"/>
    <w:lvl w:ilvl="0" w:tplc="0C0A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 w15:restartNumberingAfterBreak="0">
    <w:nsid w:val="69AB1D1C"/>
    <w:multiLevelType w:val="hybridMultilevel"/>
    <w:tmpl w:val="AC441F18"/>
    <w:lvl w:ilvl="0" w:tplc="00E0D4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7E5F5D85"/>
    <w:multiLevelType w:val="hybridMultilevel"/>
    <w:tmpl w:val="12FA5684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75A"/>
    <w:rsid w:val="00021EEE"/>
    <w:rsid w:val="00033105"/>
    <w:rsid w:val="000F4A32"/>
    <w:rsid w:val="00332F35"/>
    <w:rsid w:val="003E34CF"/>
    <w:rsid w:val="00475561"/>
    <w:rsid w:val="00600951"/>
    <w:rsid w:val="006030EF"/>
    <w:rsid w:val="006D208A"/>
    <w:rsid w:val="009B36FA"/>
    <w:rsid w:val="00A61D29"/>
    <w:rsid w:val="00AD300B"/>
    <w:rsid w:val="00CA275A"/>
    <w:rsid w:val="00D13205"/>
    <w:rsid w:val="00D52843"/>
    <w:rsid w:val="00E63E09"/>
    <w:rsid w:val="00E95AF7"/>
    <w:rsid w:val="00EF63CC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38C271"/>
  <w14:defaultImageDpi w14:val="300"/>
  <w15:docId w15:val="{3E79C6D2-8D41-1B41-9EF0-49AFD0B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2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7</cp:revision>
  <dcterms:created xsi:type="dcterms:W3CDTF">2020-05-25T07:02:00Z</dcterms:created>
  <dcterms:modified xsi:type="dcterms:W3CDTF">2021-04-08T09:39:00Z</dcterms:modified>
</cp:coreProperties>
</file>